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7247F2" w:rsidP="007051C5">
      <w:pPr>
        <w:rPr>
          <w:b/>
        </w:rPr>
      </w:pPr>
      <w:bookmarkStart w:id="0" w:name="_GoBack"/>
      <w:bookmarkEnd w:id="0"/>
    </w:p>
    <w:p w:rsidR="00C01A04" w:rsidRPr="007051C5" w:rsidRDefault="00C01A04" w:rsidP="007051C5">
      <w:pPr>
        <w:spacing w:after="0"/>
        <w:jc w:val="center"/>
        <w:rPr>
          <w:b/>
          <w:sz w:val="24"/>
          <w:szCs w:val="24"/>
        </w:rPr>
      </w:pPr>
      <w:r w:rsidRPr="007051C5">
        <w:rPr>
          <w:b/>
          <w:sz w:val="24"/>
          <w:szCs w:val="24"/>
        </w:rPr>
        <w:t>Modèle de résolution en faveur de la persévérance scolaire</w:t>
      </w:r>
    </w:p>
    <w:p w:rsidR="00C01A04" w:rsidRDefault="00C01A04" w:rsidP="007051C5">
      <w:pPr>
        <w:spacing w:after="0"/>
      </w:pPr>
    </w:p>
    <w:p w:rsidR="00814E65" w:rsidRDefault="00814E65" w:rsidP="00814E65">
      <w:r w:rsidRPr="006147BD">
        <w:rPr>
          <w:b/>
        </w:rPr>
        <w:t>Considérant</w:t>
      </w:r>
      <w:r w:rsidR="006147BD" w:rsidRPr="006147BD">
        <w:rPr>
          <w:b/>
        </w:rPr>
        <w:t xml:space="preserve"> </w:t>
      </w:r>
      <w:r w:rsidR="006147BD" w:rsidRPr="006147BD">
        <w:t>que</w:t>
      </w:r>
      <w:r w:rsidR="006A2AFF" w:rsidRPr="006147BD">
        <w:t xml:space="preserve"> </w:t>
      </w:r>
      <w:r w:rsidRPr="006147BD">
        <w:t>le</w:t>
      </w:r>
      <w:r>
        <w:t xml:space="preserve"> taux de diplomation </w:t>
      </w:r>
      <w:r w:rsidR="006147BD">
        <w:t xml:space="preserve">et de qualification </w:t>
      </w:r>
      <w:r>
        <w:t xml:space="preserve">avant l’âge de vingt </w:t>
      </w:r>
      <w:r w:rsidR="006A2AFF">
        <w:t xml:space="preserve">est </w:t>
      </w:r>
      <w:r w:rsidR="00A00560">
        <w:t xml:space="preserve">de </w:t>
      </w:r>
      <w:r w:rsidR="00BD13AD">
        <w:rPr>
          <w:rFonts w:cs="Calibri"/>
        </w:rPr>
        <w:t xml:space="preserve">69,8 </w:t>
      </w:r>
      <w:r>
        <w:t>%</w:t>
      </w:r>
      <w:r w:rsidR="006147BD">
        <w:t xml:space="preserve"> dans </w:t>
      </w:r>
      <w:r w:rsidR="006147BD" w:rsidRPr="006A2AFF">
        <w:t>l’Outaouais</w:t>
      </w:r>
      <w:r w:rsidR="007C105E">
        <w:rPr>
          <w:rStyle w:val="Appelnotedebasdep"/>
        </w:rPr>
        <w:footnoteReference w:id="1"/>
      </w:r>
      <w:r w:rsidR="007C105E">
        <w:t xml:space="preserve">; </w:t>
      </w:r>
      <w:r w:rsidR="006A2AFF">
        <w:t>l’un des plus faible au Québec.</w:t>
      </w:r>
    </w:p>
    <w:p w:rsidR="00814E65" w:rsidRDefault="00814E65" w:rsidP="00814E65">
      <w:r w:rsidRPr="006147BD">
        <w:rPr>
          <w:b/>
        </w:rPr>
        <w:t xml:space="preserve">Considérant </w:t>
      </w:r>
      <w:r w:rsidRPr="006147BD">
        <w:t>que le</w:t>
      </w:r>
      <w:r>
        <w:t xml:space="preserve"> décrochage est un phénomène complexe qui nécessite l’apport de tous les </w:t>
      </w:r>
      <w:r w:rsidR="006A2AFF">
        <w:t>acteurs</w:t>
      </w:r>
      <w:r>
        <w:t xml:space="preserve"> de la communauté pour le prév</w:t>
      </w:r>
      <w:r w:rsidR="006A2AFF">
        <w:t>enir.</w:t>
      </w:r>
    </w:p>
    <w:p w:rsidR="003E2727" w:rsidRDefault="007248DE" w:rsidP="006147BD">
      <w:pPr>
        <w:spacing w:after="0" w:line="240" w:lineRule="auto"/>
      </w:pPr>
      <w:r w:rsidRPr="00C01A04">
        <w:rPr>
          <w:b/>
        </w:rPr>
        <w:t>Considérant</w:t>
      </w:r>
      <w:r>
        <w:t xml:space="preserve"> </w:t>
      </w:r>
      <w:r w:rsidR="006147BD" w:rsidRPr="006147BD">
        <w:t xml:space="preserve">que </w:t>
      </w:r>
      <w:r w:rsidRPr="006147BD">
        <w:t>l</w:t>
      </w:r>
      <w:r>
        <w:t xml:space="preserve">es conséquences du décrochage scolaire </w:t>
      </w:r>
      <w:r w:rsidR="006147BD">
        <w:t xml:space="preserve">sont lourdes </w:t>
      </w:r>
      <w:r>
        <w:t>sur les individus. Un décrocheur</w:t>
      </w:r>
      <w:r w:rsidR="006147BD">
        <w:t> :</w:t>
      </w:r>
    </w:p>
    <w:p w:rsidR="00734EEB" w:rsidRPr="007248DE" w:rsidRDefault="00734EEB" w:rsidP="006147BD">
      <w:pPr>
        <w:pStyle w:val="Paragraphedeliste"/>
        <w:numPr>
          <w:ilvl w:val="0"/>
          <w:numId w:val="1"/>
        </w:numPr>
        <w:spacing w:after="0" w:line="240" w:lineRule="auto"/>
      </w:pPr>
      <w:r w:rsidRPr="007248DE">
        <w:t>Gagne 15 000 $ de moins, annuellement, qu’un diplômé, soit environ 439 000 $ durant toute la durée de sa vie active.</w:t>
      </w:r>
    </w:p>
    <w:p w:rsidR="00734EEB" w:rsidRPr="007248DE" w:rsidRDefault="00734EEB" w:rsidP="007248DE">
      <w:pPr>
        <w:pStyle w:val="Paragraphedeliste"/>
        <w:numPr>
          <w:ilvl w:val="0"/>
          <w:numId w:val="1"/>
        </w:numPr>
      </w:pPr>
      <w:r w:rsidRPr="007248DE">
        <w:t>Vit sept ans de moins qu’un diplômé.</w:t>
      </w:r>
    </w:p>
    <w:p w:rsidR="00734EEB" w:rsidRPr="007248DE" w:rsidRDefault="00734EEB" w:rsidP="007248DE">
      <w:pPr>
        <w:pStyle w:val="Paragraphedeliste"/>
        <w:numPr>
          <w:ilvl w:val="0"/>
          <w:numId w:val="1"/>
        </w:numPr>
      </w:pPr>
      <w:r w:rsidRPr="007248DE">
        <w:t>A deux fois plus de chances de recourir au chômage.</w:t>
      </w:r>
    </w:p>
    <w:p w:rsidR="00734EEB" w:rsidRPr="007248DE" w:rsidRDefault="00734EEB" w:rsidP="007248DE">
      <w:pPr>
        <w:pStyle w:val="Paragraphedeliste"/>
        <w:numPr>
          <w:ilvl w:val="0"/>
          <w:numId w:val="1"/>
        </w:numPr>
      </w:pPr>
      <w:r w:rsidRPr="007248DE">
        <w:t>Court 1,7 fois plus de risques de faire partie de la population carcérale.</w:t>
      </w:r>
    </w:p>
    <w:p w:rsidR="00734EEB" w:rsidRPr="007248DE" w:rsidRDefault="00734EEB" w:rsidP="007248DE">
      <w:pPr>
        <w:pStyle w:val="Paragraphedeliste"/>
        <w:numPr>
          <w:ilvl w:val="0"/>
          <w:numId w:val="1"/>
        </w:numPr>
      </w:pPr>
      <w:r w:rsidRPr="007248DE">
        <w:t>Court 1,7 fois plus de risques de connaître des épisodes de dépression.</w:t>
      </w:r>
    </w:p>
    <w:p w:rsidR="007248DE" w:rsidRDefault="007248DE" w:rsidP="006147BD">
      <w:pPr>
        <w:spacing w:after="0" w:line="240" w:lineRule="auto"/>
      </w:pPr>
      <w:r w:rsidRPr="006147BD">
        <w:rPr>
          <w:b/>
        </w:rPr>
        <w:t xml:space="preserve">Considérant </w:t>
      </w:r>
      <w:r w:rsidRPr="006147BD">
        <w:t xml:space="preserve">que </w:t>
      </w:r>
      <w:r>
        <w:t>les répercussions du décrochage se font sentir</w:t>
      </w:r>
      <w:r w:rsidR="00CE4CD5">
        <w:t xml:space="preserve"> dans notre société</w:t>
      </w:r>
      <w:r w:rsidR="006A2AFF">
        <w:t> sur :</w:t>
      </w:r>
    </w:p>
    <w:p w:rsidR="00734EEB" w:rsidRPr="007248DE" w:rsidRDefault="006A2AFF" w:rsidP="006147BD">
      <w:pPr>
        <w:pStyle w:val="Paragraphedeliste"/>
        <w:numPr>
          <w:ilvl w:val="0"/>
          <w:numId w:val="3"/>
        </w:numPr>
        <w:spacing w:after="0" w:line="240" w:lineRule="auto"/>
      </w:pPr>
      <w:r>
        <w:t>L</w:t>
      </w:r>
      <w:r w:rsidR="00734EEB" w:rsidRPr="007248DE">
        <w:t>a participation à la vie citoyenne (voter, faire du bénévolat, donner du sang)</w:t>
      </w:r>
      <w:r>
        <w:t>.</w:t>
      </w:r>
    </w:p>
    <w:p w:rsidR="00734EEB" w:rsidRPr="007248DE" w:rsidRDefault="006A2AFF" w:rsidP="007248DE">
      <w:pPr>
        <w:pStyle w:val="Paragraphedeliste"/>
        <w:numPr>
          <w:ilvl w:val="0"/>
          <w:numId w:val="3"/>
        </w:numPr>
      </w:pPr>
      <w:r>
        <w:t>L</w:t>
      </w:r>
      <w:r w:rsidR="00734EEB" w:rsidRPr="007248DE">
        <w:t>es taxes et impôts perçus en moins</w:t>
      </w:r>
      <w:r>
        <w:t>.</w:t>
      </w:r>
    </w:p>
    <w:p w:rsidR="00734EEB" w:rsidRPr="007248DE" w:rsidRDefault="006A2AFF" w:rsidP="007248DE">
      <w:pPr>
        <w:pStyle w:val="Paragraphedeliste"/>
        <w:numPr>
          <w:ilvl w:val="0"/>
          <w:numId w:val="3"/>
        </w:numPr>
      </w:pPr>
      <w:r>
        <w:t>L</w:t>
      </w:r>
      <w:r w:rsidR="00734EEB" w:rsidRPr="007248DE">
        <w:t>es coûts en matière de santé et de sécurité publique (un décrocheur a davantage de risques de rencontrer des problèmes de santé et de vivre des démêlés avec la justice qu’un diplômé)</w:t>
      </w:r>
      <w:r>
        <w:t>.</w:t>
      </w:r>
    </w:p>
    <w:p w:rsidR="00814E65" w:rsidRDefault="00814E65" w:rsidP="00814E65">
      <w:r w:rsidRPr="00C01A04">
        <w:rPr>
          <w:b/>
        </w:rPr>
        <w:t>Considérant</w:t>
      </w:r>
      <w:r>
        <w:t xml:space="preserve"> qu’i</w:t>
      </w:r>
      <w:r w:rsidRPr="007248DE">
        <w:t xml:space="preserve">l </w:t>
      </w:r>
      <w:r>
        <w:t xml:space="preserve">en </w:t>
      </w:r>
      <w:r w:rsidRPr="007248DE">
        <w:t xml:space="preserve">coûte moins cher d’agir </w:t>
      </w:r>
      <w:r>
        <w:t xml:space="preserve">en prévention </w:t>
      </w:r>
      <w:r w:rsidR="006A2AFF">
        <w:t xml:space="preserve">; </w:t>
      </w:r>
      <w:r w:rsidRPr="007248DE">
        <w:t xml:space="preserve">entre 10 000 $ et 20 000 $ par </w:t>
      </w:r>
      <w:r>
        <w:t>potentiel décrocheur plut</w:t>
      </w:r>
      <w:r w:rsidR="006A2AFF">
        <w:t>ôt que 120 000 $ par décrocheur.</w:t>
      </w:r>
    </w:p>
    <w:p w:rsidR="00814E65" w:rsidRDefault="00814E65" w:rsidP="00814E65">
      <w:r w:rsidRPr="00C01A04">
        <w:rPr>
          <w:b/>
        </w:rPr>
        <w:t>Considérant</w:t>
      </w:r>
      <w:r>
        <w:t xml:space="preserve"> que le décrochage scolaire a des impacts négatifs significatif</w:t>
      </w:r>
      <w:r w:rsidR="006A2AFF">
        <w:t>s sur l’économie de l’Outaouais</w:t>
      </w:r>
      <w:r w:rsidR="00A00560">
        <w:t xml:space="preserve"> et ses territoires</w:t>
      </w:r>
      <w:r w:rsidR="006A2AFF">
        <w:t>.</w:t>
      </w:r>
    </w:p>
    <w:p w:rsidR="007248DE" w:rsidRDefault="007248DE" w:rsidP="006147BD">
      <w:pPr>
        <w:spacing w:after="0" w:line="240" w:lineRule="auto"/>
      </w:pPr>
      <w:r w:rsidRPr="00C01A04">
        <w:rPr>
          <w:b/>
        </w:rPr>
        <w:t>Considérant</w:t>
      </w:r>
      <w:r>
        <w:t xml:space="preserve"> les avantages d’investir en persévérance scolaire</w:t>
      </w:r>
      <w:r w:rsidR="006A2AFF">
        <w:t xml:space="preserve"> car cela permet de faire</w:t>
      </w:r>
      <w:r w:rsidR="00CE4CD5">
        <w:t> :</w:t>
      </w:r>
    </w:p>
    <w:p w:rsidR="00734EEB" w:rsidRPr="007248DE" w:rsidRDefault="00734EEB" w:rsidP="006147BD">
      <w:pPr>
        <w:pStyle w:val="Paragraphedeliste"/>
        <w:numPr>
          <w:ilvl w:val="0"/>
          <w:numId w:val="5"/>
        </w:numPr>
        <w:spacing w:after="0" w:line="240" w:lineRule="auto"/>
      </w:pPr>
      <w:r w:rsidRPr="007248DE">
        <w:t>Un frein à la pénurie de main-d’œuvre qualifiée.</w:t>
      </w:r>
    </w:p>
    <w:p w:rsidR="00734EEB" w:rsidRPr="007248DE" w:rsidRDefault="00734EEB" w:rsidP="007248DE">
      <w:pPr>
        <w:pStyle w:val="Paragraphedeliste"/>
        <w:numPr>
          <w:ilvl w:val="0"/>
          <w:numId w:val="5"/>
        </w:numPr>
      </w:pPr>
      <w:r w:rsidRPr="007248DE">
        <w:t>Des recettes gouvernementales plus importantes provenant des taxes et impôts perçus, ce qui se traduit en services plus adéquats pour tous.</w:t>
      </w:r>
    </w:p>
    <w:p w:rsidR="00E614AC" w:rsidRPr="006147BD" w:rsidRDefault="00734EEB" w:rsidP="00814E65">
      <w:pPr>
        <w:pStyle w:val="Paragraphedeliste"/>
        <w:numPr>
          <w:ilvl w:val="0"/>
          <w:numId w:val="5"/>
        </w:numPr>
      </w:pPr>
      <w:r w:rsidRPr="007248DE">
        <w:t>Des citoy</w:t>
      </w:r>
      <w:r w:rsidR="006A2AFF">
        <w:t>ens et citoyennes plus engagés.</w:t>
      </w:r>
    </w:p>
    <w:p w:rsidR="00C01A04" w:rsidRDefault="00814E65" w:rsidP="007248DE">
      <w:r w:rsidRPr="00C01A04">
        <w:rPr>
          <w:b/>
        </w:rPr>
        <w:t>Considérant</w:t>
      </w:r>
      <w:r>
        <w:t xml:space="preserve"> que le décrochage scolaire est un problème intimement lié à la pauvreté et </w:t>
      </w:r>
      <w:r w:rsidR="006A2AFF">
        <w:t xml:space="preserve">à celui de la pénurie </w:t>
      </w:r>
      <w:r>
        <w:t>de relève et de main-d’œuvre</w:t>
      </w:r>
      <w:r w:rsidR="006A2AFF">
        <w:t xml:space="preserve"> qualifiée.</w:t>
      </w:r>
    </w:p>
    <w:p w:rsidR="00DB22B6" w:rsidRPr="00DB22B6" w:rsidRDefault="00DB22B6" w:rsidP="007248DE">
      <w:pPr>
        <w:rPr>
          <w:sz w:val="16"/>
          <w:szCs w:val="16"/>
        </w:rPr>
      </w:pPr>
    </w:p>
    <w:p w:rsidR="00A00560" w:rsidRPr="00A00560" w:rsidRDefault="007051C5" w:rsidP="00A00560">
      <w:pPr>
        <w:rPr>
          <w:b/>
        </w:rPr>
      </w:pPr>
      <w:r>
        <w:rPr>
          <w:b/>
        </w:rPr>
        <w:t xml:space="preserve">IL EST PROPOSÉ, APPUYÉ ET </w:t>
      </w:r>
      <w:r w:rsidR="00A00560" w:rsidRPr="00A00560">
        <w:rPr>
          <w:b/>
        </w:rPr>
        <w:t xml:space="preserve">RÉSOLU </w:t>
      </w:r>
    </w:p>
    <w:p w:rsidR="00223ABF" w:rsidRDefault="00223ABF" w:rsidP="00A00560">
      <w:r>
        <w:t xml:space="preserve">De déclarer </w:t>
      </w:r>
      <w:r w:rsidRPr="006147BD">
        <w:t xml:space="preserve">la troisième semaine de février comme étant celle des </w:t>
      </w:r>
      <w:r w:rsidRPr="006147BD">
        <w:rPr>
          <w:i/>
        </w:rPr>
        <w:t>Journées de la persévérance scolaire</w:t>
      </w:r>
      <w:r w:rsidRPr="006147BD">
        <w:t xml:space="preserve"> </w:t>
      </w:r>
      <w:r>
        <w:t xml:space="preserve">(JPS) </w:t>
      </w:r>
      <w:r w:rsidR="00C25858">
        <w:t>et de s’inscrire comme partenaire;</w:t>
      </w:r>
      <w:r w:rsidRPr="00223ABF">
        <w:t xml:space="preserve"> </w:t>
      </w:r>
    </w:p>
    <w:p w:rsidR="00A00560" w:rsidRDefault="00A00560" w:rsidP="00A00560">
      <w:r w:rsidRPr="00223ABF">
        <w:t xml:space="preserve">D’appuyer la Table éducation Outaouais (TÉO) afin de faire de l’Outaouais une région persévérante </w:t>
      </w:r>
      <w:r w:rsidR="00223ABF">
        <w:t xml:space="preserve">qui </w:t>
      </w:r>
      <w:r w:rsidRPr="00223ABF">
        <w:t>valorise l’</w:t>
      </w:r>
      <w:r w:rsidR="00223ABF">
        <w:t xml:space="preserve">éducation comme un véritable levier de développement </w:t>
      </w:r>
      <w:r w:rsidRPr="00223ABF">
        <w:t>pou</w:t>
      </w:r>
      <w:r w:rsidR="00223ABF">
        <w:t xml:space="preserve">r </w:t>
      </w:r>
      <w:r w:rsidRPr="00223ABF">
        <w:t xml:space="preserve">ses </w:t>
      </w:r>
      <w:r w:rsidR="00223ABF">
        <w:t>communautés;</w:t>
      </w:r>
    </w:p>
    <w:p w:rsidR="00AC024B" w:rsidRPr="00223ABF" w:rsidRDefault="00AC024B" w:rsidP="00A00560">
      <w:r>
        <w:t xml:space="preserve">De déclarer la persévérance scolaire et la réussite éducative comme une priorité </w:t>
      </w:r>
      <w:r w:rsidR="007C105E">
        <w:t xml:space="preserve">pour votre organisation et le </w:t>
      </w:r>
      <w:r>
        <w:t>développement d</w:t>
      </w:r>
      <w:r w:rsidR="007C105E">
        <w:t>e la région et ses</w:t>
      </w:r>
      <w:r>
        <w:t xml:space="preserve"> territoire</w:t>
      </w:r>
      <w:r w:rsidR="007C105E">
        <w:t>s</w:t>
      </w:r>
      <w:r>
        <w:t>.</w:t>
      </w:r>
      <w:r w:rsidR="00A010C3" w:rsidRPr="00A010C3">
        <w:rPr>
          <w:noProof/>
          <w:lang w:eastAsia="fr-CA"/>
        </w:rPr>
        <w:t xml:space="preserve"> </w:t>
      </w:r>
    </w:p>
    <w:p w:rsidR="00223ABF" w:rsidRDefault="00A010C3" w:rsidP="00CE4CD5">
      <w:r w:rsidRPr="00A010C3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A61C321" wp14:editId="3387993D">
            <wp:simplePos x="0" y="0"/>
            <wp:positionH relativeFrom="column">
              <wp:posOffset>5303520</wp:posOffset>
            </wp:positionH>
            <wp:positionV relativeFrom="paragraph">
              <wp:posOffset>198755</wp:posOffset>
            </wp:positionV>
            <wp:extent cx="1196975" cy="1196975"/>
            <wp:effectExtent l="0" t="0" r="3175" b="3175"/>
            <wp:wrapThrough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hrough>
            <wp:docPr id="184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ABF" w:rsidRPr="00223ABF">
        <w:t>De faire parvenir cop</w:t>
      </w:r>
      <w:r w:rsidR="00F52742">
        <w:t>ie de cette résolution à la TÉO au</w:t>
      </w:r>
      <w:r w:rsidR="00F52742" w:rsidRPr="00F52742">
        <w:t xml:space="preserve"> 34 rue Binet à Gatineau, J8Y 2T4</w:t>
      </w:r>
      <w:r w:rsidR="00F52742">
        <w:t xml:space="preserve"> ou par courriel à </w:t>
      </w:r>
      <w:hyperlink r:id="rId10" w:history="1">
        <w:r w:rsidR="00F52742" w:rsidRPr="005A1CA3">
          <w:rPr>
            <w:rStyle w:val="Lienhypertexte"/>
            <w:rFonts w:eastAsia="Times New Roman" w:cs="Times New Roman"/>
            <w:lang w:eastAsia="fr-CA"/>
          </w:rPr>
          <w:t>info@tableeducationoutaouais.com</w:t>
        </w:r>
      </w:hyperlink>
    </w:p>
    <w:sectPr w:rsidR="00223ABF" w:rsidSect="007051C5">
      <w:headerReference w:type="default" r:id="rId11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26" w:rsidRDefault="00592F26" w:rsidP="00C01A04">
      <w:pPr>
        <w:spacing w:after="0" w:line="240" w:lineRule="auto"/>
      </w:pPr>
      <w:r>
        <w:separator/>
      </w:r>
    </w:p>
  </w:endnote>
  <w:endnote w:type="continuationSeparator" w:id="0">
    <w:p w:rsidR="00592F26" w:rsidRDefault="00592F26" w:rsidP="00C0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26" w:rsidRDefault="00592F26" w:rsidP="00C01A04">
      <w:pPr>
        <w:spacing w:after="0" w:line="240" w:lineRule="auto"/>
      </w:pPr>
      <w:r>
        <w:separator/>
      </w:r>
    </w:p>
  </w:footnote>
  <w:footnote w:type="continuationSeparator" w:id="0">
    <w:p w:rsidR="00592F26" w:rsidRDefault="00592F26" w:rsidP="00C01A04">
      <w:pPr>
        <w:spacing w:after="0" w:line="240" w:lineRule="auto"/>
      </w:pPr>
      <w:r>
        <w:continuationSeparator/>
      </w:r>
    </w:p>
  </w:footnote>
  <w:footnote w:id="1">
    <w:p w:rsidR="007C105E" w:rsidRPr="00BD13AD" w:rsidRDefault="007C105E" w:rsidP="007C10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D13AD">
        <w:rPr>
          <w:rFonts w:cs="Calibri"/>
          <w:color w:val="333333"/>
          <w:shd w:val="clear" w:color="auto" w:fill="FFFFFF"/>
        </w:rPr>
        <w:t>Ministère de l’Éducation, de l’Enseignement supérieur et de la Recherche (2015)</w:t>
      </w:r>
      <w:r w:rsidR="00BD13AD">
        <w:t xml:space="preserve">. </w:t>
      </w:r>
      <w:r w:rsidRPr="007C105E">
        <w:rPr>
          <w:sz w:val="16"/>
          <w:szCs w:val="16"/>
        </w:rPr>
        <w:t>TAUX DE DIPLOMATION ET DE QUALIFICATION APRÈS 7 ANS AU SECONDAIRE, RÉSEAUX PUBLIC ET PRIVÉ</w:t>
      </w:r>
      <w:r w:rsidR="00BD13AD">
        <w:t xml:space="preserve"> </w:t>
      </w:r>
      <w:r w:rsidRPr="007C105E">
        <w:rPr>
          <w:sz w:val="16"/>
          <w:szCs w:val="16"/>
        </w:rPr>
        <w:t>SEXES RÉUNIS, COHORTE 200</w:t>
      </w:r>
      <w:r w:rsidR="00BD13AD">
        <w:rPr>
          <w:sz w:val="16"/>
          <w:szCs w:val="16"/>
        </w:rPr>
        <w:t>6</w:t>
      </w:r>
      <w:r w:rsidRPr="007C105E">
        <w:rPr>
          <w:sz w:val="16"/>
          <w:szCs w:val="16"/>
        </w:rPr>
        <w:t>-200</w:t>
      </w:r>
      <w:r w:rsidR="00BD13AD">
        <w:rPr>
          <w:sz w:val="16"/>
          <w:szCs w:val="16"/>
        </w:rPr>
        <w:t>7</w:t>
      </w:r>
      <w:r w:rsidRPr="007C105E">
        <w:rPr>
          <w:sz w:val="16"/>
          <w:szCs w:val="16"/>
        </w:rPr>
        <w:t xml:space="preserve"> (ayant graduée en 201</w:t>
      </w:r>
      <w:r w:rsidR="00BD13AD">
        <w:rPr>
          <w:sz w:val="16"/>
          <w:szCs w:val="16"/>
        </w:rPr>
        <w:t>4</w:t>
      </w:r>
      <w:r w:rsidRPr="007C105E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04" w:rsidRDefault="00A00560">
    <w:pPr>
      <w:pStyle w:val="En-tte"/>
    </w:pPr>
    <w:r w:rsidRPr="006B3568">
      <w:rPr>
        <w:rFonts w:ascii="Calibri" w:hAnsi="Calibri"/>
        <w:noProof/>
        <w:sz w:val="48"/>
        <w:szCs w:val="48"/>
        <w:lang w:eastAsia="fr-CA"/>
      </w:rPr>
      <w:drawing>
        <wp:anchor distT="0" distB="0" distL="114300" distR="114300" simplePos="0" relativeHeight="251659264" behindDoc="1" locked="0" layoutInCell="1" allowOverlap="1" wp14:anchorId="1109CE5F" wp14:editId="403EC1B8">
          <wp:simplePos x="0" y="0"/>
          <wp:positionH relativeFrom="column">
            <wp:posOffset>-358140</wp:posOffset>
          </wp:positionH>
          <wp:positionV relativeFrom="paragraph">
            <wp:posOffset>-60960</wp:posOffset>
          </wp:positionV>
          <wp:extent cx="2112645" cy="670560"/>
          <wp:effectExtent l="0" t="0" r="1905" b="0"/>
          <wp:wrapThrough wrapText="bothSides">
            <wp:wrapPolygon edited="0">
              <wp:start x="0" y="0"/>
              <wp:lineTo x="0" y="20864"/>
              <wp:lineTo x="21425" y="20864"/>
              <wp:lineTo x="21425" y="0"/>
              <wp:lineTo x="0" y="0"/>
            </wp:wrapPolygon>
          </wp:wrapThrough>
          <wp:docPr id="4" name="Picture 4" descr="http://www.uqo.ca/diplomes-partenaires/teo/logo_te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://www.uqo.ca/diplomes-partenaires/teo/logo_teo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F52"/>
    <w:multiLevelType w:val="hybridMultilevel"/>
    <w:tmpl w:val="9E28D2A8"/>
    <w:lvl w:ilvl="0" w:tplc="0D1A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2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2A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2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E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A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F95BCC"/>
    <w:multiLevelType w:val="hybridMultilevel"/>
    <w:tmpl w:val="F718EA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33F5"/>
    <w:multiLevelType w:val="hybridMultilevel"/>
    <w:tmpl w:val="6DBAE452"/>
    <w:lvl w:ilvl="0" w:tplc="CC02E204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A60C8C"/>
    <w:multiLevelType w:val="hybridMultilevel"/>
    <w:tmpl w:val="F8848A7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6D87CD6"/>
    <w:multiLevelType w:val="hybridMultilevel"/>
    <w:tmpl w:val="D6446EF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7726A"/>
    <w:multiLevelType w:val="hybridMultilevel"/>
    <w:tmpl w:val="249A8A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7FA6"/>
    <w:multiLevelType w:val="hybridMultilevel"/>
    <w:tmpl w:val="CF0485E0"/>
    <w:lvl w:ilvl="0" w:tplc="60F2B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3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A1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5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EF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0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20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E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5569D4"/>
    <w:multiLevelType w:val="hybridMultilevel"/>
    <w:tmpl w:val="90C8F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BB"/>
    <w:multiLevelType w:val="hybridMultilevel"/>
    <w:tmpl w:val="D85A8DAA"/>
    <w:lvl w:ilvl="0" w:tplc="45344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6B2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85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E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6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DE"/>
    <w:rsid w:val="00021766"/>
    <w:rsid w:val="00223ABF"/>
    <w:rsid w:val="003471E4"/>
    <w:rsid w:val="003E2727"/>
    <w:rsid w:val="00495438"/>
    <w:rsid w:val="00592F26"/>
    <w:rsid w:val="006147BD"/>
    <w:rsid w:val="00673BE2"/>
    <w:rsid w:val="006A2AFF"/>
    <w:rsid w:val="006B1AB1"/>
    <w:rsid w:val="007051C5"/>
    <w:rsid w:val="007153C5"/>
    <w:rsid w:val="007247F2"/>
    <w:rsid w:val="007248DE"/>
    <w:rsid w:val="00734EEB"/>
    <w:rsid w:val="007C105E"/>
    <w:rsid w:val="007F5AE9"/>
    <w:rsid w:val="00814E65"/>
    <w:rsid w:val="00833168"/>
    <w:rsid w:val="0085427F"/>
    <w:rsid w:val="00A00560"/>
    <w:rsid w:val="00A010C3"/>
    <w:rsid w:val="00AC024B"/>
    <w:rsid w:val="00BD13AD"/>
    <w:rsid w:val="00C01A04"/>
    <w:rsid w:val="00C25858"/>
    <w:rsid w:val="00CE4CD5"/>
    <w:rsid w:val="00CF019B"/>
    <w:rsid w:val="00DB22B6"/>
    <w:rsid w:val="00E614AC"/>
    <w:rsid w:val="00E73EBC"/>
    <w:rsid w:val="00F52742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8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1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04"/>
  </w:style>
  <w:style w:type="paragraph" w:styleId="Pieddepage">
    <w:name w:val="footer"/>
    <w:basedOn w:val="Normal"/>
    <w:link w:val="PieddepageCar"/>
    <w:uiPriority w:val="99"/>
    <w:unhideWhenUsed/>
    <w:rsid w:val="00C01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A04"/>
  </w:style>
  <w:style w:type="paragraph" w:styleId="Textedebulles">
    <w:name w:val="Balloon Text"/>
    <w:basedOn w:val="Normal"/>
    <w:link w:val="TextedebullesCar"/>
    <w:uiPriority w:val="99"/>
    <w:semiHidden/>
    <w:unhideWhenUsed/>
    <w:rsid w:val="00C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274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0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0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1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8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1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04"/>
  </w:style>
  <w:style w:type="paragraph" w:styleId="Pieddepage">
    <w:name w:val="footer"/>
    <w:basedOn w:val="Normal"/>
    <w:link w:val="PieddepageCar"/>
    <w:uiPriority w:val="99"/>
    <w:unhideWhenUsed/>
    <w:rsid w:val="00C01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A04"/>
  </w:style>
  <w:style w:type="paragraph" w:styleId="Textedebulles">
    <w:name w:val="Balloon Text"/>
    <w:basedOn w:val="Normal"/>
    <w:link w:val="TextedebullesCar"/>
    <w:uiPriority w:val="99"/>
    <w:semiHidden/>
    <w:unhideWhenUsed/>
    <w:rsid w:val="00C0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2742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0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0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1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5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60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6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199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49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80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1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0991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54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1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tableeducationoutaoua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qo.ca/diplomes-partenaires/teo/logo_te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DB3A-FB99-48B3-AE74-D33151EF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2016-01-19T18:50:00Z</cp:lastPrinted>
  <dcterms:created xsi:type="dcterms:W3CDTF">2017-01-17T18:41:00Z</dcterms:created>
  <dcterms:modified xsi:type="dcterms:W3CDTF">2017-01-17T18:41:00Z</dcterms:modified>
</cp:coreProperties>
</file>